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E49A0" w14:textId="77777777" w:rsidR="00D3354F" w:rsidRDefault="00F46AD0">
      <w:pPr>
        <w:spacing w:after="0" w:line="259" w:lineRule="auto"/>
        <w:ind w:left="-1" w:right="0" w:firstLine="0"/>
        <w:jc w:val="left"/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 wp14:anchorId="78897AD5" wp14:editId="4D3A2468">
            <wp:extent cx="911225" cy="902335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122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14:paraId="4ECB294F" w14:textId="77777777" w:rsidR="00D3354F" w:rsidRDefault="00F46AD0">
      <w:pPr>
        <w:spacing w:after="0" w:line="259" w:lineRule="auto"/>
        <w:ind w:left="54" w:right="0" w:firstLine="0"/>
        <w:jc w:val="center"/>
      </w:pPr>
      <w:r>
        <w:t xml:space="preserve"> </w:t>
      </w:r>
    </w:p>
    <w:p w14:paraId="62FC9FA7" w14:textId="77777777" w:rsidR="00D3354F" w:rsidRDefault="00F46AD0">
      <w:pPr>
        <w:spacing w:after="0" w:line="259" w:lineRule="auto"/>
        <w:ind w:left="10" w:hanging="10"/>
        <w:jc w:val="center"/>
      </w:pPr>
      <w:r>
        <w:rPr>
          <w:b/>
        </w:rPr>
        <w:t>Trabajos libres</w:t>
      </w:r>
      <w:r>
        <w:t xml:space="preserve"> </w:t>
      </w:r>
    </w:p>
    <w:p w14:paraId="1085AF59" w14:textId="77777777" w:rsidR="00D3354F" w:rsidRDefault="00F46AD0">
      <w:pPr>
        <w:spacing w:after="0" w:line="259" w:lineRule="auto"/>
        <w:ind w:left="10" w:hanging="10"/>
        <w:jc w:val="center"/>
      </w:pPr>
      <w:r>
        <w:rPr>
          <w:b/>
        </w:rPr>
        <w:t>Instrucciones a los(as) autores para envío de resúmenes</w:t>
      </w:r>
      <w:r>
        <w:t xml:space="preserve"> </w:t>
      </w:r>
    </w:p>
    <w:p w14:paraId="73A4AF76" w14:textId="77777777" w:rsidR="00D3354F" w:rsidRDefault="00F46AD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FEC42AC" w14:textId="77777777" w:rsidR="00D3354F" w:rsidRDefault="00F46AD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5C67D40" w14:textId="723E26FC" w:rsidR="00D3354F" w:rsidRDefault="00F46AD0">
      <w:pPr>
        <w:ind w:left="-14" w:right="0" w:firstLine="0"/>
      </w:pPr>
      <w:r>
        <w:t>La Sociedad de Geriatría y Gerontología de Chile (SGGC</w:t>
      </w:r>
      <w:r w:rsidR="00B04A93">
        <w:t>h</w:t>
      </w:r>
      <w:r>
        <w:t xml:space="preserve">) en aras de propender al desarrollo de actividades y publicaciones científicas; incorpora dentro de su congreso científico anual, un concurso de temas libres. </w:t>
      </w:r>
    </w:p>
    <w:p w14:paraId="5ABFE600" w14:textId="77777777" w:rsidR="00D3354F" w:rsidRDefault="00F46AD0">
      <w:pPr>
        <w:ind w:left="-14" w:right="0" w:firstLine="0"/>
      </w:pPr>
      <w:r>
        <w:t>Pueden postular personas naturales de manera individual o en grupo. Uno de los autores debe identificarse como principal, el cual será el intermediario entre el grupo y la organización del concurso. En el presente documento se encuentran las normas para el envío de resúmenes, el cronograma del proceso y los criterios con que los trabajos serán evaluados para la adjudicación de los reconocimientos académicos y premios que tiene previstos la organización del congreso.</w:t>
      </w:r>
      <w:r>
        <w:rPr>
          <w:color w:val="FF0000"/>
        </w:rPr>
        <w:t xml:space="preserve"> </w:t>
      </w:r>
    </w:p>
    <w:p w14:paraId="0EE7819E" w14:textId="77777777" w:rsidR="00D3354F" w:rsidRDefault="00F46AD0">
      <w:pPr>
        <w:spacing w:after="0" w:line="259" w:lineRule="auto"/>
        <w:ind w:left="0" w:right="0" w:firstLine="0"/>
        <w:jc w:val="left"/>
      </w:pPr>
      <w:r>
        <w:rPr>
          <w:color w:val="FF0000"/>
        </w:rPr>
        <w:t xml:space="preserve"> </w:t>
      </w:r>
    </w:p>
    <w:p w14:paraId="6264484A" w14:textId="77777777" w:rsidR="00D3354F" w:rsidRDefault="00F46AD0">
      <w:pPr>
        <w:numPr>
          <w:ilvl w:val="0"/>
          <w:numId w:val="1"/>
        </w:numPr>
        <w:ind w:right="0" w:hanging="360"/>
      </w:pPr>
      <w:r>
        <w:t xml:space="preserve">Serán considerados para revisión, los resúmenes enviados que cumplan los siguientes requisitos: </w:t>
      </w:r>
    </w:p>
    <w:p w14:paraId="3C361A12" w14:textId="77777777" w:rsidR="00D3354F" w:rsidRDefault="00F46AD0">
      <w:pPr>
        <w:numPr>
          <w:ilvl w:val="1"/>
          <w:numId w:val="1"/>
        </w:numPr>
        <w:ind w:right="0" w:hanging="360"/>
      </w:pPr>
      <w:r>
        <w:t xml:space="preserve">No debe encontrarse publicado previamente, ni en proceso de publicación, en revistas científicas, libros o cualquier otro ejemplar similar. </w:t>
      </w:r>
      <w:r>
        <w:rPr>
          <w:rFonts w:ascii="Times New Roman" w:eastAsia="Times New Roman" w:hAnsi="Times New Roman" w:cs="Times New Roman"/>
        </w:rPr>
        <w:t xml:space="preserve"> </w:t>
      </w:r>
    </w:p>
    <w:p w14:paraId="0293008E" w14:textId="77777777" w:rsidR="00D3354F" w:rsidRDefault="00F46AD0">
      <w:pPr>
        <w:numPr>
          <w:ilvl w:val="1"/>
          <w:numId w:val="1"/>
        </w:numPr>
        <w:ind w:right="0" w:hanging="360"/>
      </w:pPr>
      <w:r>
        <w:t>Estar escrito en español.</w:t>
      </w:r>
      <w:r>
        <w:rPr>
          <w:rFonts w:ascii="Times New Roman" w:eastAsia="Times New Roman" w:hAnsi="Times New Roman" w:cs="Times New Roman"/>
        </w:rPr>
        <w:t xml:space="preserve"> </w:t>
      </w:r>
    </w:p>
    <w:p w14:paraId="5C88FD29" w14:textId="77777777" w:rsidR="00D3354F" w:rsidRDefault="00F46AD0">
      <w:pPr>
        <w:numPr>
          <w:ilvl w:val="1"/>
          <w:numId w:val="1"/>
        </w:numPr>
        <w:ind w:right="0" w:hanging="360"/>
      </w:pPr>
      <w:r>
        <w:t>Corresponder a una investigación que constituye un aporte al ámbito de la Geriatría y/o la Gerontología (Trabajo Científico o Revisión Sistemática)</w:t>
      </w:r>
      <w:r>
        <w:rPr>
          <w:rFonts w:ascii="Times New Roman" w:eastAsia="Times New Roman" w:hAnsi="Times New Roman" w:cs="Times New Roman"/>
        </w:rPr>
        <w:t xml:space="preserve"> </w:t>
      </w:r>
    </w:p>
    <w:p w14:paraId="0E64E2DE" w14:textId="77777777" w:rsidR="00D3354F" w:rsidRDefault="00F46AD0">
      <w:pPr>
        <w:numPr>
          <w:ilvl w:val="1"/>
          <w:numId w:val="1"/>
        </w:numPr>
        <w:ind w:right="0" w:hanging="360"/>
      </w:pPr>
      <w:r>
        <w:t xml:space="preserve">Ser enviado en los plazos establecidos y mediante plataforma web. No serán recibidos resúmenes por otra vía que no sea la establecida: http://www.socgeriatria.cl </w:t>
      </w:r>
      <w:r>
        <w:rPr>
          <w:rFonts w:ascii="Times New Roman" w:eastAsia="Times New Roman" w:hAnsi="Times New Roman" w:cs="Times New Roman"/>
        </w:rPr>
        <w:t xml:space="preserve"> </w:t>
      </w:r>
    </w:p>
    <w:p w14:paraId="4F602861" w14:textId="77777777" w:rsidR="00D3354F" w:rsidRDefault="00F46AD0">
      <w:pPr>
        <w:numPr>
          <w:ilvl w:val="1"/>
          <w:numId w:val="1"/>
        </w:numPr>
        <w:ind w:right="0" w:hanging="360"/>
      </w:pPr>
      <w:r>
        <w:t>El total de las palabras del resumen no deberá exceder las 250 sin contar con el título.</w:t>
      </w:r>
      <w:r>
        <w:rPr>
          <w:rFonts w:ascii="Times New Roman" w:eastAsia="Times New Roman" w:hAnsi="Times New Roman" w:cs="Times New Roman"/>
        </w:rPr>
        <w:t xml:space="preserve"> </w:t>
      </w:r>
    </w:p>
    <w:p w14:paraId="36F9E0E3" w14:textId="77777777" w:rsidR="00D3354F" w:rsidRDefault="00F46AD0">
      <w:pPr>
        <w:numPr>
          <w:ilvl w:val="1"/>
          <w:numId w:val="1"/>
        </w:numPr>
        <w:ind w:right="0" w:hanging="360"/>
      </w:pPr>
      <w:r>
        <w:t>Tener la siguiente estructura: Título, Introducción, Objetivo, Metodología, Resultados, Conclusión.</w:t>
      </w:r>
      <w:r>
        <w:rPr>
          <w:rFonts w:ascii="Times New Roman" w:eastAsia="Times New Roman" w:hAnsi="Times New Roman" w:cs="Times New Roman"/>
        </w:rPr>
        <w:t xml:space="preserve"> </w:t>
      </w:r>
    </w:p>
    <w:p w14:paraId="2B354187" w14:textId="77777777" w:rsidR="00D3354F" w:rsidRDefault="00F46AD0">
      <w:pPr>
        <w:numPr>
          <w:ilvl w:val="1"/>
          <w:numId w:val="1"/>
        </w:numPr>
        <w:ind w:right="0" w:hanging="360"/>
      </w:pPr>
      <w:r>
        <w:t>Se incluye un máximo de 3 a 5 palabras clave, en español, desde Descriptores en Ciencias de la Salud: http://decs.bvs.br/E/homepagee.htm</w:t>
      </w:r>
      <w:r>
        <w:rPr>
          <w:rFonts w:ascii="Times New Roman" w:eastAsia="Times New Roman" w:hAnsi="Times New Roman" w:cs="Times New Roman"/>
        </w:rPr>
        <w:t xml:space="preserve"> </w:t>
      </w:r>
    </w:p>
    <w:p w14:paraId="351FA273" w14:textId="77777777" w:rsidR="00D3354F" w:rsidRDefault="00F46AD0">
      <w:pPr>
        <w:spacing w:after="0" w:line="259" w:lineRule="auto"/>
        <w:ind w:left="361" w:right="0" w:firstLine="0"/>
        <w:jc w:val="left"/>
      </w:pPr>
      <w:r>
        <w:t xml:space="preserve"> </w:t>
      </w:r>
    </w:p>
    <w:p w14:paraId="19A7D76B" w14:textId="77777777" w:rsidR="00D3354F" w:rsidRDefault="00F46AD0">
      <w:pPr>
        <w:spacing w:after="0" w:line="241" w:lineRule="auto"/>
        <w:ind w:left="1" w:right="0" w:firstLine="0"/>
        <w:jc w:val="left"/>
      </w:pPr>
      <w:r>
        <w:rPr>
          <w:b/>
        </w:rPr>
        <w:t>Aquellos resúmenes que no cumplan con los requisitos recién descritos no serán admitidos para su evaluación.</w:t>
      </w:r>
      <w:r>
        <w:t xml:space="preserve"> </w:t>
      </w:r>
    </w:p>
    <w:p w14:paraId="56FFDBD7" w14:textId="77777777" w:rsidR="00D3354F" w:rsidRDefault="00F46AD0">
      <w:pPr>
        <w:spacing w:after="0" w:line="259" w:lineRule="auto"/>
        <w:ind w:left="1" w:right="0" w:firstLine="0"/>
        <w:jc w:val="left"/>
      </w:pPr>
      <w:r>
        <w:t xml:space="preserve"> </w:t>
      </w:r>
    </w:p>
    <w:p w14:paraId="30A1BB3F" w14:textId="3714D24D" w:rsidR="00D3354F" w:rsidRDefault="00F46AD0">
      <w:pPr>
        <w:numPr>
          <w:ilvl w:val="0"/>
          <w:numId w:val="1"/>
        </w:numPr>
        <w:ind w:right="0" w:hanging="360"/>
      </w:pPr>
      <w:r>
        <w:t>Todos los trabajos enviados que cumplan con estos requisitos serán evaluados por los comités científicos respectivos, mediante pauta única establecida por el comité científico del Congreso de la SGGC</w:t>
      </w:r>
      <w:r w:rsidR="00EF6E9D">
        <w:t>h</w:t>
      </w:r>
      <w:r>
        <w:t xml:space="preserve">. No se aceptarán trabajos presentados por otra vía. De acuerdo con la puntuación recibida, el comité científico evaluará aceptación al congreso y asignará el formato de presentación: presentación oral o póster. </w:t>
      </w:r>
    </w:p>
    <w:p w14:paraId="47992831" w14:textId="77777777" w:rsidR="00D3354F" w:rsidRDefault="00F46AD0">
      <w:pPr>
        <w:spacing w:after="0" w:line="259" w:lineRule="auto"/>
        <w:ind w:left="1" w:right="0" w:firstLine="0"/>
        <w:jc w:val="left"/>
      </w:pPr>
      <w:r>
        <w:t xml:space="preserve"> </w:t>
      </w:r>
    </w:p>
    <w:p w14:paraId="59A7C481" w14:textId="4BA3B26F" w:rsidR="00D3354F" w:rsidRDefault="00F46AD0">
      <w:pPr>
        <w:numPr>
          <w:ilvl w:val="0"/>
          <w:numId w:val="1"/>
        </w:numPr>
        <w:ind w:right="0" w:hanging="360"/>
      </w:pPr>
      <w:r>
        <w:t xml:space="preserve">Los resúmenes serán clasificados en las siguientes áreas: </w:t>
      </w:r>
      <w:r w:rsidR="002B2655">
        <w:t xml:space="preserve">ciencias básicas, </w:t>
      </w:r>
      <w:r>
        <w:t xml:space="preserve">psicosocial, clínica, epidemiología- políticas públicas.  </w:t>
      </w:r>
    </w:p>
    <w:p w14:paraId="142A6780" w14:textId="77777777" w:rsidR="00D3354F" w:rsidRDefault="00F46AD0">
      <w:pPr>
        <w:spacing w:after="0" w:line="259" w:lineRule="auto"/>
        <w:ind w:left="361" w:right="0" w:firstLine="0"/>
        <w:jc w:val="left"/>
      </w:pPr>
      <w:r>
        <w:t xml:space="preserve"> </w:t>
      </w:r>
    </w:p>
    <w:p w14:paraId="39D15CC9" w14:textId="77777777" w:rsidR="00D3354F" w:rsidRDefault="00F46AD0">
      <w:pPr>
        <w:numPr>
          <w:ilvl w:val="0"/>
          <w:numId w:val="1"/>
        </w:numPr>
        <w:spacing w:after="618"/>
        <w:ind w:right="0" w:hanging="360"/>
      </w:pPr>
      <w:r>
        <w:t xml:space="preserve">Los/as autores recibirán comunicación escrita vía correo electrónico sobre la aceptación o no del trabajo, su modalidad (poster o presentación </w:t>
      </w:r>
      <w:r>
        <w:rPr>
          <w:color w:val="0D0D0D"/>
        </w:rPr>
        <w:t xml:space="preserve">oral) y horario de presentación en el Congreso. Luego de esto, el presentador deberá inscribirse en el Congreso dentro de </w:t>
      </w:r>
    </w:p>
    <w:p w14:paraId="2FE16935" w14:textId="77777777" w:rsidR="00D3354F" w:rsidRDefault="00F46AD0">
      <w:pPr>
        <w:spacing w:after="3" w:line="259" w:lineRule="auto"/>
        <w:ind w:left="10" w:right="7" w:hanging="10"/>
        <w:jc w:val="center"/>
      </w:pPr>
      <w:r>
        <w:rPr>
          <w:rFonts w:ascii="Times New Roman" w:eastAsia="Times New Roman" w:hAnsi="Times New Roman" w:cs="Times New Roman"/>
          <w:color w:val="5B9BD5"/>
          <w:sz w:val="24"/>
        </w:rPr>
        <w:lastRenderedPageBreak/>
        <w:t xml:space="preserve">1 </w:t>
      </w:r>
    </w:p>
    <w:p w14:paraId="758DD617" w14:textId="77777777" w:rsidR="00D3354F" w:rsidRDefault="00F46AD0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5D5B2744" w14:textId="77777777" w:rsidR="00D3354F" w:rsidRDefault="00F46AD0">
      <w:pPr>
        <w:spacing w:after="47" w:line="259" w:lineRule="auto"/>
        <w:ind w:left="-1" w:right="0" w:firstLine="0"/>
        <w:jc w:val="left"/>
      </w:pPr>
      <w:r>
        <w:rPr>
          <w:noProof/>
          <w:lang w:bidi="ar-SA"/>
        </w:rPr>
        <w:drawing>
          <wp:inline distT="0" distB="0" distL="0" distR="0" wp14:anchorId="4A937A54" wp14:editId="16C8CC79">
            <wp:extent cx="911225" cy="902335"/>
            <wp:effectExtent l="0" t="0" r="0" b="0"/>
            <wp:docPr id="103" name="Picture 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122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E3FBC" w14:textId="77777777" w:rsidR="00D3354F" w:rsidRDefault="00F46AD0">
      <w:pPr>
        <w:spacing w:after="266"/>
        <w:ind w:left="370" w:right="0" w:hanging="10"/>
        <w:jc w:val="left"/>
      </w:pPr>
      <w:r>
        <w:rPr>
          <w:color w:val="0D0D0D"/>
        </w:rPr>
        <w:t>los 15 días siguientes. Los Trabajos que no cuenten con un autor inscrito dentro del plazo establecido no podrán ser presentados.</w:t>
      </w:r>
      <w:r>
        <w:t xml:space="preserve"> </w:t>
      </w:r>
    </w:p>
    <w:p w14:paraId="10DFD595" w14:textId="77777777" w:rsidR="00D3354F" w:rsidRDefault="00F46AD0">
      <w:pPr>
        <w:numPr>
          <w:ilvl w:val="0"/>
          <w:numId w:val="1"/>
        </w:numPr>
        <w:spacing w:after="266"/>
        <w:ind w:right="0" w:hanging="360"/>
      </w:pPr>
      <w:r>
        <w:rPr>
          <w:color w:val="0D0D0D"/>
        </w:rPr>
        <w:t>Todos los posters serán expuestos en un pabellón virtual que permitirá que todos los participantes del congreso puedan verlos y contactar a los autores de ser requerido.</w:t>
      </w:r>
    </w:p>
    <w:p w14:paraId="76117723" w14:textId="141ED47C" w:rsidR="00D3354F" w:rsidRDefault="00F46AD0">
      <w:pPr>
        <w:numPr>
          <w:ilvl w:val="0"/>
          <w:numId w:val="1"/>
        </w:numPr>
        <w:spacing w:after="264"/>
        <w:ind w:right="0" w:hanging="360"/>
      </w:pPr>
      <w:r>
        <w:t>Los trabajos que sean seleccionados y considerados adecuados para iniciar el proceso de revisión por parte del comité científico, se comunicarán a los autores vía correo electrónico su aceptación para participar en el congreso y se solicitará el envío del respectivo poster.</w:t>
      </w:r>
    </w:p>
    <w:p w14:paraId="17147AE5" w14:textId="77777777" w:rsidR="00D3354F" w:rsidRDefault="00F46AD0">
      <w:pPr>
        <w:numPr>
          <w:ilvl w:val="0"/>
          <w:numId w:val="1"/>
        </w:numPr>
        <w:spacing w:after="517"/>
        <w:ind w:right="0" w:hanging="360"/>
      </w:pPr>
      <w:r>
        <w:t>El Comité Científico evaluará y puntuará los trabajos de acuerdo a los criterios expuestos. Los trabajos que obtengan puntajes más altos serán presentados en la sesión de presentación oral y posters según el puntaje obtenido, que serán calificados por una comisión ad hoc.</w:t>
      </w:r>
    </w:p>
    <w:p w14:paraId="07BB5C5E" w14:textId="77777777" w:rsidR="00D3354F" w:rsidRDefault="00F46AD0">
      <w:pPr>
        <w:numPr>
          <w:ilvl w:val="0"/>
          <w:numId w:val="1"/>
        </w:numPr>
        <w:spacing w:after="266"/>
        <w:ind w:right="0" w:hanging="360"/>
      </w:pPr>
      <w:r>
        <w:rPr>
          <w:color w:val="0D0D0D"/>
        </w:rPr>
        <w:t>Se entregará certificación a todos los trabajos presentados en el congreso.</w:t>
      </w:r>
    </w:p>
    <w:p w14:paraId="39D325F7" w14:textId="77777777" w:rsidR="00D3354F" w:rsidRDefault="00F46AD0">
      <w:pPr>
        <w:numPr>
          <w:ilvl w:val="0"/>
          <w:numId w:val="1"/>
        </w:numPr>
        <w:spacing w:after="266"/>
        <w:ind w:right="0" w:hanging="360"/>
      </w:pPr>
      <w:r>
        <w:rPr>
          <w:color w:val="0D0D0D"/>
        </w:rPr>
        <w:t>Existe número máximo de 3 envíos por autor/a.</w:t>
      </w:r>
    </w:p>
    <w:p w14:paraId="503273F1" w14:textId="77777777" w:rsidR="009277C1" w:rsidRDefault="00F46AD0">
      <w:pPr>
        <w:numPr>
          <w:ilvl w:val="0"/>
          <w:numId w:val="1"/>
        </w:numPr>
        <w:ind w:right="0" w:hanging="360"/>
      </w:pPr>
      <w:r>
        <w:t>Las fechas para la convocatoria 202</w:t>
      </w:r>
      <w:r w:rsidR="00F72AE1">
        <w:t>4</w:t>
      </w:r>
      <w:r>
        <w:t xml:space="preserve"> son las siguientes: </w:t>
      </w:r>
    </w:p>
    <w:p w14:paraId="746447D3" w14:textId="04A84690" w:rsidR="00D3354F" w:rsidRDefault="00F46AD0" w:rsidP="009277C1">
      <w:pPr>
        <w:ind w:left="360" w:right="0" w:firstLine="0"/>
      </w:pPr>
      <w:r>
        <w:rPr>
          <w:rFonts w:ascii="Calibri" w:eastAsia="Calibri" w:hAnsi="Calibri" w:cs="Calibri"/>
        </w:rPr>
        <w:t xml:space="preserve">● </w:t>
      </w:r>
      <w:r w:rsidR="009277C1">
        <w:rPr>
          <w:rFonts w:ascii="Calibri" w:eastAsia="Calibri" w:hAnsi="Calibri" w:cs="Calibri"/>
        </w:rPr>
        <w:t xml:space="preserve">    </w:t>
      </w:r>
      <w:r>
        <w:t xml:space="preserve">Apertura del concurso: </w:t>
      </w:r>
      <w:r w:rsidR="00F72AE1">
        <w:t>2</w:t>
      </w:r>
      <w:r w:rsidR="00EF6E9D">
        <w:t>4</w:t>
      </w:r>
      <w:r w:rsidR="00F72AE1">
        <w:t xml:space="preserve"> </w:t>
      </w:r>
      <w:r>
        <w:t xml:space="preserve">de </w:t>
      </w:r>
      <w:r w:rsidR="00F72AE1">
        <w:t>abril</w:t>
      </w:r>
      <w:r>
        <w:t xml:space="preserve"> del 202</w:t>
      </w:r>
      <w:r w:rsidR="00F72AE1">
        <w:t>4</w:t>
      </w:r>
      <w:r>
        <w:t>.</w:t>
      </w:r>
    </w:p>
    <w:p w14:paraId="4624545A" w14:textId="46AEBAF2" w:rsidR="00D3354F" w:rsidRDefault="00F46AD0">
      <w:pPr>
        <w:numPr>
          <w:ilvl w:val="1"/>
          <w:numId w:val="1"/>
        </w:numPr>
        <w:ind w:right="0" w:hanging="360"/>
      </w:pPr>
      <w:r>
        <w:t xml:space="preserve">Cierre del concurso: </w:t>
      </w:r>
      <w:r w:rsidR="00EF6E9D">
        <w:t>1</w:t>
      </w:r>
      <w:r>
        <w:t xml:space="preserve"> de julio del 202</w:t>
      </w:r>
      <w:r w:rsidR="00491CE1" w:rsidRPr="00931FE2">
        <w:t>4</w:t>
      </w:r>
    </w:p>
    <w:p w14:paraId="6B06A233" w14:textId="6457F37A" w:rsidR="00D3354F" w:rsidRDefault="00F46AD0" w:rsidP="003B0043">
      <w:pPr>
        <w:numPr>
          <w:ilvl w:val="1"/>
          <w:numId w:val="1"/>
        </w:numPr>
        <w:spacing w:after="6188"/>
        <w:ind w:right="0" w:hanging="360"/>
      </w:pPr>
      <w:r>
        <w:t xml:space="preserve">Anuncio de trabajos seleccionados: </w:t>
      </w:r>
      <w:r w:rsidR="00EF6E9D">
        <w:t>12</w:t>
      </w:r>
      <w:r>
        <w:t xml:space="preserve"> de agosto 202</w:t>
      </w:r>
      <w:r w:rsidR="00F72AE1">
        <w:t>4</w:t>
      </w:r>
    </w:p>
    <w:sectPr w:rsidR="00D3354F">
      <w:pgSz w:w="12242" w:h="15842"/>
      <w:pgMar w:top="709" w:right="1695" w:bottom="71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202EC"/>
    <w:multiLevelType w:val="hybridMultilevel"/>
    <w:tmpl w:val="917E1278"/>
    <w:lvl w:ilvl="0" w:tplc="FAB826E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C8395E">
      <w:start w:val="1"/>
      <w:numFmt w:val="bullet"/>
      <w:lvlText w:val="●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5C2B1C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3C87F8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20DBB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1AB14C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86C2C8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9AB4D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FA9FC6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4F"/>
    <w:rsid w:val="002B2655"/>
    <w:rsid w:val="003B0043"/>
    <w:rsid w:val="00491CE1"/>
    <w:rsid w:val="009277C1"/>
    <w:rsid w:val="00931FE2"/>
    <w:rsid w:val="00B04A93"/>
    <w:rsid w:val="00D3354F"/>
    <w:rsid w:val="00E82ABA"/>
    <w:rsid w:val="00EF6E9D"/>
    <w:rsid w:val="00F46AD0"/>
    <w:rsid w:val="00F7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F6AC0"/>
  <w15:docId w15:val="{E0C6B8D5-8E78-4079-A0B0-A1D38C25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CL" w:eastAsia="es-CL" w:bidi="he-IL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0" w:lineRule="auto"/>
      <w:ind w:left="369" w:right="8" w:hanging="369"/>
      <w:jc w:val="both"/>
    </w:pPr>
    <w:rPr>
      <w:rFonts w:ascii="Arial" w:eastAsia="Arial" w:hAnsi="Arial" w:cs="Arial"/>
      <w:color w:val="00000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Lorca N.</dc:creator>
  <cp:keywords/>
  <cp:lastModifiedBy>Yuba</cp:lastModifiedBy>
  <cp:revision>2</cp:revision>
  <dcterms:created xsi:type="dcterms:W3CDTF">2024-04-24T13:15:00Z</dcterms:created>
  <dcterms:modified xsi:type="dcterms:W3CDTF">2024-04-24T13:15:00Z</dcterms:modified>
</cp:coreProperties>
</file>